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42CAED8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1510B158">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6D5D"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D27FB12"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15DEEC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236A"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E26155">
        <w:t>26</w:t>
      </w:r>
      <w:r w:rsidR="005420B4" w:rsidRPr="00893890">
        <w:t>.</w:t>
      </w:r>
      <w:r w:rsidR="00296EFF">
        <w:t xml:space="preserve"> </w:t>
      </w:r>
      <w:r w:rsidR="00C7546F">
        <w:t>března</w:t>
      </w:r>
      <w:r w:rsidR="00A30105" w:rsidRPr="00893890">
        <w:t xml:space="preserve"> 20</w:t>
      </w:r>
      <w:r w:rsidR="00A7414F" w:rsidRPr="00893890">
        <w:t>2</w:t>
      </w:r>
      <w:r w:rsidR="00CB6DEB">
        <w:t>4</w:t>
      </w:r>
    </w:p>
    <w:p w14:paraId="7EECF1EA" w14:textId="45ACBD74" w:rsidR="002027ED" w:rsidRPr="002027ED" w:rsidRDefault="002027ED" w:rsidP="002027ED">
      <w:pPr>
        <w:pStyle w:val="F2-zkladn"/>
        <w:tabs>
          <w:tab w:val="right" w:pos="9070"/>
        </w:tabs>
        <w:spacing w:line="276" w:lineRule="auto"/>
      </w:pPr>
    </w:p>
    <w:p w14:paraId="2E78882E" w14:textId="3BF98625" w:rsidR="00E76BE0" w:rsidRPr="00725F39" w:rsidRDefault="00643F9F"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E26155">
        <w:rPr>
          <w:rStyle w:val="normaltextrun"/>
          <w:rFonts w:ascii="Arial" w:hAnsi="Arial" w:cs="Arial"/>
          <w:b/>
          <w:bCs/>
          <w:color w:val="000000"/>
          <w:sz w:val="28"/>
          <w:szCs w:val="28"/>
          <w:lang w:val="cs-CZ"/>
        </w:rPr>
        <w:t>Proč čínští investoři milují dluhopisy s ultra dlouhou splatností?</w:t>
      </w:r>
    </w:p>
    <w:p w14:paraId="3E77B751" w14:textId="6CC5C9E2" w:rsidR="00C7546F" w:rsidRPr="00C7546F" w:rsidRDefault="00E26155"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Poptávka po čínských 30letých státních dluhopisech nebyla nikdy tak silná. Investoři doufali, že jim zajistí vyšší výnosy, protože trh zvyšuje sázky na to, že </w:t>
      </w:r>
      <w:proofErr w:type="spellStart"/>
      <w:r>
        <w:rPr>
          <w:rFonts w:asciiTheme="minorHAnsi" w:hAnsiTheme="minorHAnsi" w:cstheme="minorHAnsi"/>
          <w:b/>
          <w:bCs/>
          <w:sz w:val="24"/>
          <w:szCs w:val="24"/>
        </w:rPr>
        <w:t>PBoC</w:t>
      </w:r>
      <w:proofErr w:type="spellEnd"/>
      <w:r>
        <w:rPr>
          <w:rFonts w:asciiTheme="minorHAnsi" w:hAnsiTheme="minorHAnsi" w:cstheme="minorHAnsi"/>
          <w:b/>
          <w:bCs/>
          <w:sz w:val="24"/>
          <w:szCs w:val="24"/>
        </w:rPr>
        <w:t xml:space="preserve"> sníží úrokové sazby, aby podpořila hospodářské oživení země.</w:t>
      </w:r>
    </w:p>
    <w:p w14:paraId="040036D6" w14:textId="513AF4D1" w:rsidR="00EE0519" w:rsidRDefault="00E26155" w:rsidP="00EE0519">
      <w:pPr>
        <w:spacing w:after="210" w:line="360" w:lineRule="auto"/>
        <w:rPr>
          <w:color w:val="20242B"/>
          <w:shd w:val="clear" w:color="auto" w:fill="FFFFFF"/>
        </w:rPr>
      </w:pPr>
      <w:r>
        <w:rPr>
          <w:color w:val="20242B"/>
          <w:shd w:val="clear" w:color="auto" w:fill="FFFFFF"/>
        </w:rPr>
        <w:t xml:space="preserve">Dluhopisy s ultra dlouhou splatností </w:t>
      </w:r>
      <w:r w:rsidRPr="00E26155">
        <w:rPr>
          <w:color w:val="20242B"/>
          <w:shd w:val="clear" w:color="auto" w:fill="FFFFFF"/>
        </w:rPr>
        <w:t>–</w:t>
      </w:r>
      <w:r>
        <w:rPr>
          <w:color w:val="20242B"/>
          <w:shd w:val="clear" w:color="auto" w:fill="FFFFFF"/>
        </w:rPr>
        <w:t xml:space="preserve"> </w:t>
      </w:r>
      <w:r w:rsidRPr="00E26155">
        <w:rPr>
          <w:color w:val="20242B"/>
          <w:shd w:val="clear" w:color="auto" w:fill="FFFFFF"/>
        </w:rPr>
        <w:t>tedy se splatností delší než 10 let –</w:t>
      </w:r>
      <w:r>
        <w:rPr>
          <w:color w:val="20242B"/>
          <w:shd w:val="clear" w:color="auto" w:fill="FFFFFF"/>
        </w:rPr>
        <w:t xml:space="preserve"> </w:t>
      </w:r>
      <w:r w:rsidRPr="00E26155">
        <w:rPr>
          <w:color w:val="20242B"/>
          <w:shd w:val="clear" w:color="auto" w:fill="FFFFFF"/>
        </w:rPr>
        <w:t>bývaly jedněmi z nejnudnějších cenných papírů na čínském dluhovém trhu, které se kupovaly jen proto, aby se držely až do splatnosti. V roce 2024 se ale investice do třicetiletých státních dluhopisů staly horkým zbožím na sekundárním trhu.</w:t>
      </w:r>
    </w:p>
    <w:p w14:paraId="7B2F2F4E" w14:textId="693A7358" w:rsidR="00DE4AD3" w:rsidRDefault="00DE4AD3" w:rsidP="00DE4AD3">
      <w:pPr>
        <w:pStyle w:val="F2-zkladn"/>
        <w:rPr>
          <w:rFonts w:asciiTheme="minorHAnsi" w:hAnsiTheme="minorHAnsi" w:cstheme="minorHAnsi"/>
          <w:b/>
          <w:bCs/>
          <w:sz w:val="24"/>
          <w:szCs w:val="24"/>
        </w:rPr>
      </w:pPr>
      <w:r w:rsidRPr="00DE4AD3">
        <w:rPr>
          <w:rFonts w:asciiTheme="minorHAnsi" w:hAnsiTheme="minorHAnsi" w:cstheme="minorHAnsi"/>
          <w:b/>
          <w:bCs/>
          <w:noProof/>
          <w:sz w:val="24"/>
          <w:szCs w:val="24"/>
        </w:rPr>
        <w:drawing>
          <wp:anchor distT="0" distB="0" distL="114300" distR="114300" simplePos="0" relativeHeight="251665408" behindDoc="0" locked="0" layoutInCell="1" allowOverlap="1" wp14:anchorId="64BA2CF1" wp14:editId="4179165F">
            <wp:simplePos x="0" y="0"/>
            <wp:positionH relativeFrom="column">
              <wp:posOffset>-1270</wp:posOffset>
            </wp:positionH>
            <wp:positionV relativeFrom="paragraph">
              <wp:posOffset>565785</wp:posOffset>
            </wp:positionV>
            <wp:extent cx="4427604" cy="3558848"/>
            <wp:effectExtent l="0" t="0" r="0" b="3810"/>
            <wp:wrapTopAndBottom/>
            <wp:docPr id="20503454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45472" name=""/>
                    <pic:cNvPicPr/>
                  </pic:nvPicPr>
                  <pic:blipFill>
                    <a:blip r:embed="rId12">
                      <a:extLst>
                        <a:ext uri="{28A0092B-C50C-407E-A947-70E740481C1C}">
                          <a14:useLocalDpi xmlns:a14="http://schemas.microsoft.com/office/drawing/2010/main" val="0"/>
                        </a:ext>
                      </a:extLst>
                    </a:blip>
                    <a:stretch>
                      <a:fillRect/>
                    </a:stretch>
                  </pic:blipFill>
                  <pic:spPr>
                    <a:xfrm>
                      <a:off x="0" y="0"/>
                      <a:ext cx="4427604" cy="3558848"/>
                    </a:xfrm>
                    <a:prstGeom prst="rect">
                      <a:avLst/>
                    </a:prstGeom>
                  </pic:spPr>
                </pic:pic>
              </a:graphicData>
            </a:graphic>
          </wp:anchor>
        </w:drawing>
      </w:r>
      <w:r>
        <w:rPr>
          <w:rFonts w:asciiTheme="minorHAnsi" w:hAnsiTheme="minorHAnsi" w:cstheme="minorHAnsi"/>
          <w:b/>
          <w:bCs/>
          <w:sz w:val="24"/>
          <w:szCs w:val="24"/>
        </w:rPr>
        <w:t xml:space="preserve">Graf: </w:t>
      </w:r>
      <w:r w:rsidRPr="00DE4AD3">
        <w:rPr>
          <w:rFonts w:asciiTheme="minorHAnsi" w:hAnsiTheme="minorHAnsi" w:cstheme="minorHAnsi"/>
          <w:b/>
          <w:bCs/>
          <w:sz w:val="24"/>
          <w:szCs w:val="24"/>
        </w:rPr>
        <w:t>Výnosy čínských 30letých státních dluhopisů klesly rychleji než výnosy 10letých dluhopisů v roce 2024</w:t>
      </w:r>
    </w:p>
    <w:p w14:paraId="5F8D5737" w14:textId="09E9CBC1" w:rsidR="00DE4AD3" w:rsidRDefault="00DE4AD3" w:rsidP="00DE4AD3">
      <w:pPr>
        <w:pStyle w:val="F2-zkladn"/>
        <w:rPr>
          <w:rFonts w:asciiTheme="minorHAnsi" w:hAnsiTheme="minorHAnsi" w:cstheme="minorHAnsi"/>
          <w:b/>
          <w:bCs/>
          <w:sz w:val="24"/>
          <w:szCs w:val="24"/>
        </w:rPr>
      </w:pPr>
    </w:p>
    <w:p w14:paraId="29490EEA" w14:textId="0C6D4DC8" w:rsidR="00DE4AD3" w:rsidRPr="00DE4AD3" w:rsidRDefault="00DE4AD3" w:rsidP="00DE4AD3">
      <w:pPr>
        <w:pStyle w:val="F2-zkladn"/>
      </w:pPr>
      <w:r w:rsidRPr="00DE4AD3">
        <w:rPr>
          <w:color w:val="20242B"/>
          <w:shd w:val="clear" w:color="auto" w:fill="FFFFFF"/>
        </w:rPr>
        <w:lastRenderedPageBreak/>
        <w:t>N</w:t>
      </w:r>
      <w:r>
        <w:rPr>
          <w:color w:val="20242B"/>
          <w:shd w:val="clear" w:color="auto" w:fill="FFFFFF"/>
        </w:rPr>
        <w:t xml:space="preserve">áš graf </w:t>
      </w:r>
      <w:r w:rsidRPr="00DE4AD3">
        <w:rPr>
          <w:color w:val="20242B"/>
          <w:shd w:val="clear" w:color="auto" w:fill="FFFFFF"/>
        </w:rPr>
        <w:t xml:space="preserve">ukazuje, že robustní poptávka vede k poklesu výnosů 30letých dluhopisů na nejnižší úroveň za posledních 19 let. Rozdíl ve výnosech desetiletých a třicetiletých státních dluhopisů se na začátku března snížil na pouhých 12 bazických bodů. </w:t>
      </w:r>
    </w:p>
    <w:p w14:paraId="6D972E8B" w14:textId="61C69F16" w:rsidR="00DE4AD3" w:rsidRDefault="00DE4AD3" w:rsidP="00DE4AD3">
      <w:pPr>
        <w:spacing w:after="210" w:line="360" w:lineRule="auto"/>
        <w:rPr>
          <w:color w:val="20242B"/>
          <w:shd w:val="clear" w:color="auto" w:fill="FFFFFF"/>
        </w:rPr>
      </w:pPr>
      <w:proofErr w:type="spellStart"/>
      <w:r w:rsidRPr="00DE4AD3">
        <w:rPr>
          <w:color w:val="20242B"/>
          <w:shd w:val="clear" w:color="auto" w:fill="FFFFFF"/>
        </w:rPr>
        <w:t>Rally</w:t>
      </w:r>
      <w:proofErr w:type="spellEnd"/>
      <w:r w:rsidRPr="00DE4AD3">
        <w:rPr>
          <w:color w:val="20242B"/>
          <w:shd w:val="clear" w:color="auto" w:fill="FFFFFF"/>
        </w:rPr>
        <w:t xml:space="preserve"> je z velké části důsledkem honby investorů za relativně vyššími výnosy, protože výnosy dluhopisů po celé křivce prudce klesly. Slabá poptávka po úvěrech a stálý růst vkladů způsobují, že banky, největší investoři na čínském dluhovém trhu, přelévají peníze do dluhopisů. Na druhé straně trh nemovitostí (tradičně oblíbená třída aktiv čínských investorů) se zatím nestabilizoval, akciový trh zůstává volatilní a přeshraniční kapitálová omezení brání domácím investorům hledat lepší výnosy jinde.  </w:t>
      </w:r>
    </w:p>
    <w:p w14:paraId="170A88B4" w14:textId="77777777" w:rsidR="00DE4AD3" w:rsidRPr="00DE4AD3" w:rsidRDefault="00DE4AD3" w:rsidP="00DE4AD3">
      <w:pPr>
        <w:spacing w:after="210" w:line="360" w:lineRule="auto"/>
        <w:rPr>
          <w:color w:val="20242B"/>
          <w:shd w:val="clear" w:color="auto" w:fill="FFFFFF"/>
        </w:rPr>
      </w:pPr>
      <w:r w:rsidRPr="00DE4AD3">
        <w:rPr>
          <w:color w:val="20242B"/>
          <w:shd w:val="clear" w:color="auto" w:fill="FFFFFF"/>
        </w:rPr>
        <w:t xml:space="preserve">Zploštění křivky také odráží očekávání investorů, že oživení v Číně bude nějakou dobu trvat, protože vláda se zdrží velkých stimulačních opatření. Čínští politici možná budou potřebovat agresivní měnové stimuly, aby dosáhli ambiciózního cíle pětiprocentního růstu pro rok 2024. S očekáváním, že čínská centrální banka sníží úrokové sazby – pravděpodobně po obratu Federálního rezervního systému, existuje také snaha uzamknout vyšší výnosy. Široký úrokový diferenciál mezi USA a Čínou omezuje </w:t>
      </w:r>
      <w:proofErr w:type="spellStart"/>
      <w:r w:rsidRPr="00DE4AD3">
        <w:rPr>
          <w:color w:val="20242B"/>
          <w:shd w:val="clear" w:color="auto" w:fill="FFFFFF"/>
        </w:rPr>
        <w:t>PBoC</w:t>
      </w:r>
      <w:proofErr w:type="spellEnd"/>
      <w:r w:rsidRPr="00DE4AD3">
        <w:rPr>
          <w:color w:val="20242B"/>
          <w:shd w:val="clear" w:color="auto" w:fill="FFFFFF"/>
        </w:rPr>
        <w:t xml:space="preserve">. </w:t>
      </w:r>
    </w:p>
    <w:p w14:paraId="2438F419" w14:textId="77777777" w:rsidR="00DE4AD3" w:rsidRPr="00DE4AD3" w:rsidRDefault="00DE4AD3" w:rsidP="00DE4AD3">
      <w:pPr>
        <w:spacing w:line="360" w:lineRule="auto"/>
        <w:rPr>
          <w:color w:val="20242B"/>
          <w:shd w:val="clear" w:color="auto" w:fill="FFFFFF"/>
        </w:rPr>
      </w:pPr>
      <w:r w:rsidRPr="00DE4AD3">
        <w:rPr>
          <w:color w:val="20242B"/>
          <w:shd w:val="clear" w:color="auto" w:fill="FFFFFF"/>
        </w:rPr>
        <w:t>Vzhledem k tomu, že Čína plánuje v letošním roce vydat státní dluhopisy s velmi dlouhou maturitou v hodnotě 1 bilionu RMB (139 miliard amerických dolarů), může dojít ke krátkodobým výkyvům na delším konci výnosové křivky. Protože však hospodářské oživení země může být pomalé a hrbolaté, boom dluhopisů bude pravděpodobně pokračovat.</w:t>
      </w:r>
    </w:p>
    <w:p w14:paraId="7519A95D" w14:textId="77777777" w:rsidR="0015633B" w:rsidRPr="00F02332" w:rsidRDefault="0015633B" w:rsidP="00F02332">
      <w:pPr>
        <w:spacing w:before="0" w:line="360" w:lineRule="auto"/>
        <w:rPr>
          <w:color w:val="20242B"/>
          <w:shd w:val="clear" w:color="auto" w:fill="FFFFFF"/>
        </w:rPr>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w:t>
      </w:r>
      <w:r w:rsidRPr="00D404D5">
        <w:rPr>
          <w:color w:val="000000"/>
          <w:lang w:eastAsia="en-US"/>
        </w:rPr>
        <w:lastRenderedPageBreak/>
        <w:t>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w:t>
      </w:r>
      <w:r>
        <w:lastRenderedPageBreak/>
        <w:t xml:space="preserve">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5BA27CDD" w:rsidR="007B45EC" w:rsidRDefault="00D41193" w:rsidP="0074497D">
      <w:pPr>
        <w:pStyle w:val="F2-zkladn"/>
      </w:pPr>
      <w:r w:rsidRPr="00D41193">
        <w:t>MKAT12132</w:t>
      </w:r>
    </w:p>
    <w:sectPr w:rsidR="007B45EC" w:rsidSect="00697F0A">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C61B" w14:textId="77777777" w:rsidR="00697F0A" w:rsidRDefault="00697F0A">
      <w:r>
        <w:separator/>
      </w:r>
    </w:p>
  </w:endnote>
  <w:endnote w:type="continuationSeparator" w:id="0">
    <w:p w14:paraId="315CA05E" w14:textId="77777777" w:rsidR="00697F0A" w:rsidRDefault="0069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A7A4" w14:textId="77777777" w:rsidR="00697F0A" w:rsidRDefault="00697F0A">
      <w:r>
        <w:separator/>
      </w:r>
    </w:p>
  </w:footnote>
  <w:footnote w:type="continuationSeparator" w:id="0">
    <w:p w14:paraId="641FE235" w14:textId="77777777" w:rsidR="00697F0A" w:rsidRDefault="00697F0A">
      <w:r>
        <w:continuationSeparator/>
      </w:r>
    </w:p>
  </w:footnote>
  <w:footnote w:type="continuationNotice" w:id="1">
    <w:p w14:paraId="4D941087" w14:textId="77777777" w:rsidR="00697F0A" w:rsidRDefault="00697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0"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1"/>
  </w:num>
  <w:num w:numId="3" w16cid:durableId="1582174134">
    <w:abstractNumId w:val="36"/>
  </w:num>
  <w:num w:numId="4" w16cid:durableId="1727561179">
    <w:abstractNumId w:val="22"/>
  </w:num>
  <w:num w:numId="5" w16cid:durableId="56979214">
    <w:abstractNumId w:val="24"/>
  </w:num>
  <w:num w:numId="6" w16cid:durableId="52699439">
    <w:abstractNumId w:val="20"/>
  </w:num>
  <w:num w:numId="7" w16cid:durableId="1526748972">
    <w:abstractNumId w:val="34"/>
  </w:num>
  <w:num w:numId="8" w16cid:durableId="1090007024">
    <w:abstractNumId w:val="25"/>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9"/>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3"/>
  </w:num>
  <w:num w:numId="27" w16cid:durableId="339890089">
    <w:abstractNumId w:val="28"/>
  </w:num>
  <w:num w:numId="28" w16cid:durableId="571113239">
    <w:abstractNumId w:val="19"/>
  </w:num>
  <w:num w:numId="29" w16cid:durableId="1961842128">
    <w:abstractNumId w:val="21"/>
  </w:num>
  <w:num w:numId="30" w16cid:durableId="1308898731">
    <w:abstractNumId w:val="23"/>
  </w:num>
  <w:num w:numId="31" w16cid:durableId="297690701">
    <w:abstractNumId w:val="30"/>
  </w:num>
  <w:num w:numId="32" w16cid:durableId="1759861628">
    <w:abstractNumId w:val="37"/>
  </w:num>
  <w:num w:numId="33" w16cid:durableId="2037387264">
    <w:abstractNumId w:val="27"/>
  </w:num>
  <w:num w:numId="34" w16cid:durableId="1056201924">
    <w:abstractNumId w:val="35"/>
  </w:num>
  <w:num w:numId="35" w16cid:durableId="1984849997">
    <w:abstractNumId w:val="38"/>
  </w:num>
  <w:num w:numId="36" w16cid:durableId="1007513551">
    <w:abstractNumId w:val="14"/>
  </w:num>
  <w:num w:numId="37" w16cid:durableId="1296060939">
    <w:abstractNumId w:val="32"/>
  </w:num>
  <w:num w:numId="38" w16cid:durableId="1285503461">
    <w:abstractNumId w:val="16"/>
  </w:num>
  <w:num w:numId="39" w16cid:durableId="5402168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615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1088</Words>
  <Characters>6422</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7496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2024-03-25T14:58:00Z</dcterms:created>
  <dcterms:modified xsi:type="dcterms:W3CDTF">2024-03-26T12:46:00Z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